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6"/>
    <w:p>
      <w:pPr>
        <w:pStyle w:val="Heading1"/>
      </w:pPr>
      <w:r>
        <w:t xml:space="preserve">Homiletics Analysis: Deuteronomy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6 is the fullest exposition of the Shema in all of Scripture — the great confession of Israel’s monotheistic faith — and the comprehensive command for covenant fidelity that flows from it. Moses opens with a programmatic charge: these commandments are to be kept so that Israel may fear the LORD, obey Him, and multiply in the land of promise (vv. 1–3). The Shema itself (vv. 4–5) declares the LORD’s singular identity and calls for a love that engages the whole person — heart, soul, and strength. This love is not passive; it is to be interiorized (v. 6), transmitted across generations (vv. 7–9), enacted in embodied practices of binding and writing (vv. 8–9), and maintained as a jealous guard against the seduction of Canaanite prosperity (vv. 10–15). Moses warns Israel against testing the LORD as at Massah (v. 16) and insists on wholehearted obedience as the pathway to life, righteousness, and the inheritance of the land (vv. 17–19). The chapter closes with a catechism for covenant children — when your son asks, you will tell him: the LORD brought us out of Egypt, gave us the land, and commanded all these statutes for our good (vv. 20–25). Obedience is not coerced compliance; it is the response of a people who know who their God is and what He has done.</w:t>
      </w:r>
    </w:p>
    <w:p>
      <w:pPr>
        <w:pStyle w:val="BodyText"/>
      </w:pPr>
      <w:r>
        <w:rPr>
          <w:b/>
          <w:bCs/>
        </w:rPr>
        <w:t xml:space="preserve">This Text — Intent:</w:t>
      </w:r>
    </w:p>
    <w:p>
      <w:pPr>
        <w:pStyle w:val="BodyText"/>
      </w:pPr>
      <w:r>
        <w:t xml:space="preserve">God is seeking to produce in Israel — and through Israel’s Scripture in every subsequent generation of covenant people — a comprehensive, exclusive, whole-person love for the LORD that integrates interior conviction, household transmission, embodied practice, and resistant vigilance against idolatry. The passage’s intent is not merely to command love but to situate that command within Israel’s identity as a redeemed people, so that love becomes the natural and joyful response to grace already received. God is calling His people to live as though the Shema is the most practically governing truth of their daily existence — structuring the home, shaping the memory, and anchoring the household’s witness across the generations.</w:t>
      </w:r>
    </w:p>
    <w:p>
      <w:r>
        <w:pict>
          <v:rect style="width:0;height:1.5pt" o:hralign="center" o:hrstd="t" o:hr="t"/>
        </w:pict>
      </w:r>
    </w:p>
    <w:p>
      <w:pPr>
        <w:pStyle w:val="FirstParagraph"/>
      </w:pPr>
      <w:r>
        <w:rPr>
          <w:b/>
          <w:bCs/>
        </w:rPr>
        <w:t xml:space="preserve">Subject Sentence:</w:t>
      </w:r>
      <w:r>
        <w:t xml:space="preserve"> </w:t>
      </w:r>
      <w:r>
        <w:t xml:space="preserve">The Shema commands whole-person love for the one LORD as the governing reality of covenant life.</w:t>
      </w:r>
    </w:p>
    <w:p>
      <w:r>
        <w:pict>
          <v:rect style="width:0;height:1.5pt" o:hralign="center" o:hrstd="t" o:hr="t"/>
        </w:pict>
      </w:r>
    </w:p>
    <w:p>
      <w:pPr>
        <w:pStyle w:val="FirstParagraph"/>
      </w:pPr>
      <w:r>
        <w:rPr>
          <w:b/>
          <w:bCs/>
        </w:rPr>
        <w:t xml:space="preserve">Primary Claim:</w:t>
      </w:r>
      <w:r>
        <w:t xml:space="preserve"> </w:t>
      </w:r>
      <w:r>
        <w:t xml:space="preserve">Because the LORD alone is God and has redeemed His people by grace, He calls them to love Him with the whole self — and to structure every dimension of life, from household rhythm to generational memory, around that singular love.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Shema’s monotheism (v. 4):</w:t>
      </w:r>
      <w:r>
        <w:t xml:space="preserve"> </w:t>
      </w:r>
      <w:r>
        <w:t xml:space="preserve">The Hebrew</w:t>
      </w:r>
      <w:r>
        <w:t xml:space="preserve"> </w:t>
      </w:r>
      <w:r>
        <w:rPr>
          <w:i/>
          <w:iCs/>
        </w:rPr>
        <w:t xml:space="preserve">“YHWH Elohenu YHWH Echad”</w:t>
      </w:r>
      <w:r>
        <w:t xml:space="preserve"> </w:t>
      </w:r>
      <w:r>
        <w:t xml:space="preserve">has generated several renderings:</w:t>
      </w:r>
      <w:r>
        <w:t xml:space="preserve"> </w:t>
      </w:r>
      <w:r>
        <w:t xml:space="preserve">“The LORD our God, the LORD is one”</w:t>
      </w:r>
      <w:r>
        <w:t xml:space="preserve">;</w:t>
      </w:r>
      <w:r>
        <w:t xml:space="preserve"> </w:t>
      </w:r>
      <w:r>
        <w:t xml:space="preserve">“The LORD is our God, the LORD alone”</w:t>
      </w:r>
      <w:r>
        <w:t xml:space="preserve">; or</w:t>
      </w:r>
      <w:r>
        <w:t xml:space="preserve"> </w:t>
      </w:r>
      <w:r>
        <w:t xml:space="preserve">“The LORD our God is one LORD.”</w:t>
      </w:r>
      <w:r>
        <w:t xml:space="preserve"> </w:t>
      </w:r>
      <w:r>
        <w:t xml:space="preserve">The Arminian/broadly evangelical tradition tends to emphasize the oneness as numerical singularity — there is only one God, as opposed to Baal and the pantheon. The Reformed tradition has historically affirmed this but insists that</w:t>
      </w:r>
      <w:r>
        <w:t xml:space="preserve"> </w:t>
      </w:r>
      <w:r>
        <w:rPr>
          <w:i/>
          <w:iCs/>
        </w:rPr>
        <w:t xml:space="preserve">echad</w:t>
      </w:r>
      <w:r>
        <w:t xml:space="preserve"> </w:t>
      </w:r>
      <w:r>
        <w:t xml:space="preserve">also carries functional-exclusive force: this God, and no other, is to command Israel’s complete allegiance. The difference is not trivial — the</w:t>
      </w:r>
      <w:r>
        <w:t xml:space="preserve"> </w:t>
      </w:r>
      <w:r>
        <w:t xml:space="preserve">“alone”</w:t>
      </w:r>
      <w:r>
        <w:t xml:space="preserve"> </w:t>
      </w:r>
      <w:r>
        <w:t xml:space="preserve">reading (favored by many modern translations and scholars such as Patrick Miller) surfaces the practical and ethical edge of the Shema immediately: it is not merely a metaphysical claim but a relational and exclusive one. Both dimensions are present. The Reformed reading rightly holds both together: the LORD’s ontological oneness grounds His exclusive claim on Israel’s loyalty. Reducing the Shema to a philosophical proposition about monotheism misses the pastoral and homiletical nerve of the text.</w:t>
      </w:r>
    </w:p>
    <w:p>
      <w:pPr>
        <w:pStyle w:val="BodyText"/>
      </w:pPr>
      <w:r>
        <w:rPr>
          <w:b/>
          <w:bCs/>
        </w:rPr>
        <w:t xml:space="preserve">The command to love (v. 5) — imperative or responsive?</w:t>
      </w:r>
      <w:r>
        <w:t xml:space="preserve"> </w:t>
      </w:r>
      <w:r>
        <w:t xml:space="preserve">Wesleyan/Arminian readings often emphasize the imperative dimension of love: love is commanded, therefore it is humanly achievable by grace-enabled effort. This reading is not wrong in what it affirms but is incomplete in what it grounds love in. The Reformed reading, consistent with Deuteronomy’s own logic, insists that the love command (v. 5) follows from the grace declaration implicit in the Shema and explicit in the narrative embedded in vv. 20–25: the LORD</w:t>
      </w:r>
      <w:r>
        <w:t xml:space="preserve"> </w:t>
      </w:r>
      <w:r>
        <w:rPr>
          <w:i/>
          <w:iCs/>
        </w:rPr>
        <w:t xml:space="preserve">first</w:t>
      </w:r>
      <w:r>
        <w:t xml:space="preserve"> </w:t>
      </w:r>
      <w:r>
        <w:t xml:space="preserve">redeemed Israel,</w:t>
      </w:r>
      <w:r>
        <w:t xml:space="preserve"> </w:t>
      </w:r>
      <w:r>
        <w:rPr>
          <w:i/>
          <w:iCs/>
        </w:rPr>
        <w:t xml:space="preserve">then</w:t>
      </w:r>
      <w:r>
        <w:t xml:space="preserve"> </w:t>
      </w:r>
      <w:r>
        <w:t xml:space="preserve">called them to love. Love is commanded, but it is commanded as the response of people who already belong to this God by his prior saving act. The Wesleyan emphasis on human cooperation is not entirely wrong, but it risks detaching the imperative from its gracious indicative ground. The Reformed reading: command and grace are not in tension — the command to love is the call to inhabit what God’s redemption has already made possible and appropriate.</w:t>
      </w:r>
    </w:p>
    <w:p>
      <w:pPr>
        <w:pStyle w:val="BodyText"/>
      </w:pPr>
      <w:r>
        <w:rPr>
          <w:b/>
          <w:bCs/>
        </w:rPr>
        <w:t xml:space="preserve">The household transmission passages (vv. 7–9, 20–25) — pedagogical method or covenant theology?</w:t>
      </w:r>
      <w:r>
        <w:t xml:space="preserve"> </w:t>
      </w:r>
      <w:r>
        <w:t xml:space="preserve">Baptist and broadly evangelical traditions frequently read these verses as sound parenting advice — a biblical model for Christian education and family discipleship. This is</w:t>
      </w:r>
      <w:r>
        <w:t xml:space="preserve"> </w:t>
      </w:r>
      <w:r>
        <w:rPr>
          <w:i/>
          <w:iCs/>
        </w:rPr>
        <w:t xml:space="preserve">not wrong</w:t>
      </w:r>
      <w:r>
        <w:t xml:space="preserve"> </w:t>
      </w:r>
      <w:r>
        <w:t xml:space="preserve">and should be</w:t>
      </w:r>
      <w:r>
        <w:t xml:space="preserve"> </w:t>
      </w:r>
      <w:r>
        <w:rPr>
          <w:b/>
          <w:bCs/>
        </w:rPr>
        <w:t xml:space="preserve">acknowledged</w:t>
      </w:r>
      <w:r>
        <w:t xml:space="preserve"> </w:t>
      </w:r>
      <w:r>
        <w:t xml:space="preserve">as a genuine application. However, it risks reducing a covenant-theological declaration to a pragmatic educational method. The Reformed reading insists these verses are first a covenant claim: the LORD is establishing a household as the primary site of covenant transmission, grounded not in good pedagogical practice but in the identity of Israel as a redeemed community with a story to tell. The catechism in vv. 20–25 is not primarily a curriculum outline — it is a confession of saving history. Exposition must not domesticate this into family-devotion advice without grounding it in the grace-narrative that gives the advice its force.</w:t>
      </w:r>
    </w:p>
    <w:p>
      <w:pPr>
        <w:pStyle w:val="BodyText"/>
      </w:pPr>
      <w:r>
        <w:rPr>
          <w:b/>
          <w:bCs/>
        </w:rPr>
        <w:t xml:space="preserve">The land-warning passages (vv. 10–15) — Israel-specific or universally applicable?</w:t>
      </w:r>
      <w:r>
        <w:t xml:space="preserve"> </w:t>
      </w:r>
      <w:r>
        <w:t xml:space="preserve">Dispensational readings often treat the land-related warnings as promises and cautions specific to national Israel, with limited or mediated application to the church. This reading should be</w:t>
      </w:r>
      <w:r>
        <w:t xml:space="preserve"> </w:t>
      </w:r>
      <w:r>
        <w:rPr>
          <w:b/>
          <w:bCs/>
        </w:rPr>
        <w:t xml:space="preserve">qualified</w:t>
      </w:r>
      <w:r>
        <w:t xml:space="preserve">: the Dispensational instinct to preserve the particularity of Israel’s situation is exegetically responsible. However, the</w:t>
      </w:r>
      <w:r>
        <w:t xml:space="preserve"> </w:t>
      </w:r>
      <w:r>
        <w:rPr>
          <w:i/>
          <w:iCs/>
        </w:rPr>
        <w:t xml:space="preserve">structural pattern</w:t>
      </w:r>
      <w:r>
        <w:t xml:space="preserve"> </w:t>
      </w:r>
      <w:r>
        <w:t xml:space="preserve">of the warning — prosperity leading to amnesia, amnesia leading to idolatry, idolatry provoking divine jealousy — is applied canonically in multiple New Testament contexts (1 Cor. 10:1–13) to all God’s people in every age. The Reformed reading: the land-promise is Israel-specific in its particular form; the idolatry-amnesia-judgment dynamic is trans-canonical and applies with full force to the new covenant community.</w:t>
      </w:r>
    </w:p>
    <w:p>
      <w:pPr>
        <w:pStyle w:val="BodyText"/>
      </w:pPr>
      <w:r>
        <w:rPr>
          <w:b/>
          <w:bCs/>
        </w:rPr>
        <w:t xml:space="preserve">The Reformed verdict:</w:t>
      </w:r>
      <w:r>
        <w:t xml:space="preserve"> </w:t>
      </w:r>
      <w:r>
        <w:t xml:space="preserve">Deuteronomy 6 is not primarily a chapter about parenting, education, or national policy — it is a theological declaration about the exclusive lordship of the one God, calling His redeemed people to an integrative, whole-person, household-shaping love that is grounded in prior grace, transmitted across generations, and maintained in vigilance against all competing loves. Every applicational direction must flow from this center.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7:6–9</w:t>
      </w:r>
      <w:r>
        <w:t xml:space="preserve"> </w:t>
      </w:r>
      <w:r>
        <w:t xml:space="preserve">— The LORD’s love for Israel preceded Israel’s love for Him; He chose and redeemed before commanding. The love command of ch. 6 is grounded in the prior election-love of ch. 7, establishing the indicative/imperative structure that governs Reformed reading of the Shema.</w:t>
      </w:r>
    </w:p>
    <w:p>
      <w:pPr>
        <w:numPr>
          <w:ilvl w:val="0"/>
          <w:numId w:val="1001"/>
        </w:numPr>
      </w:pPr>
      <w:r>
        <w:rPr>
          <w:b/>
          <w:bCs/>
        </w:rPr>
        <w:t xml:space="preserve">Mark 12:28–34 / Matthew 22:34–40</w:t>
      </w:r>
      <w:r>
        <w:t xml:space="preserve"> </w:t>
      </w:r>
      <w:r>
        <w:t xml:space="preserve">— Jesus identifies the Shema (Deut. 6:4–5) as the greatest commandment of the entire law, inseparably joined to love of neighbor. This canonical placement confirms that Deuteronomy 6 is not peripheral but structurally central to the whole of biblical ethics. It also demonstrates that the Shema’s demand is Christologically fulfilled — Jesus embodies what Israel failed to sustain.</w:t>
      </w:r>
    </w:p>
    <w:p>
      <w:pPr>
        <w:numPr>
          <w:ilvl w:val="0"/>
          <w:numId w:val="1001"/>
        </w:numPr>
      </w:pPr>
      <w:r>
        <w:rPr>
          <w:b/>
          <w:bCs/>
        </w:rPr>
        <w:t xml:space="preserve">Romans 3:1–4 / 10:6–13</w:t>
      </w:r>
      <w:r>
        <w:t xml:space="preserve"> </w:t>
      </w:r>
      <w:r>
        <w:t xml:space="preserve">— Paul draws on Deuteronomy throughout Romans to show that Israel’s failure to keep the law, including its failure in the Shema’s demand for exclusive love, was not a failure of the law but a revelation of the need for the righteousness of God in Christ. The Shema’s demand and Israel’s inability to sustain it points forward to the gospel.</w:t>
      </w:r>
    </w:p>
    <w:p>
      <w:pPr>
        <w:numPr>
          <w:ilvl w:val="0"/>
          <w:numId w:val="1001"/>
        </w:numPr>
      </w:pPr>
      <w:r>
        <w:rPr>
          <w:b/>
          <w:bCs/>
        </w:rPr>
        <w:t xml:space="preserve">1 Corinthians 10:1–13</w:t>
      </w:r>
      <w:r>
        <w:t xml:space="preserve"> </w:t>
      </w:r>
      <w:r>
        <w:t xml:space="preserve">— Paul explicitly applies the Deuteronomy pattern of wilderness failure to the Corinthian church, confirming that the idolatry-amnesia-judgment structure of Deuteronomy 6:10–15 is trans-canonical and applies with full force to the new covenant community. The warning against testing God (Deut. 6:16) echoes through Paul’s pastoral argument.</w:t>
      </w:r>
    </w:p>
    <w:p>
      <w:pPr>
        <w:numPr>
          <w:ilvl w:val="0"/>
          <w:numId w:val="1001"/>
        </w:numPr>
      </w:pPr>
      <w:r>
        <w:rPr>
          <w:b/>
          <w:bCs/>
        </w:rPr>
        <w:t xml:space="preserve">Psalm 78</w:t>
      </w:r>
      <w:r>
        <w:t xml:space="preserve"> </w:t>
      </w:r>
      <w:r>
        <w:t xml:space="preserve">— The generational transmission mandate of Deuteronomy 6:7–9, 20–25 is enacted poetically in Psalm 78, which rehearses Israel’s saving history precisely</w:t>
      </w:r>
      <w:r>
        <w:t xml:space="preserve"> </w:t>
      </w:r>
      <w:r>
        <w:rPr>
          <w:i/>
          <w:iCs/>
        </w:rPr>
        <w:t xml:space="preserve">as</w:t>
      </w:r>
      <w:r>
        <w:t xml:space="preserve"> </w:t>
      </w:r>
      <w:r>
        <w:t xml:space="preserve">the content to be handed down to covenant children. Psalm 78 is the literary fulfillment of the catechism commanded in Deuteronomy 6.</w:t>
      </w:r>
    </w:p>
    <w:p>
      <w:r>
        <w:pict>
          <v:rect style="width:0;height:1.5pt" o:hralign="center" o:hrstd="t" o:hr="t"/>
        </w:pict>
      </w:r>
    </w:p>
    <w:p>
      <w:pPr>
        <w:pStyle w:val="FirstParagraph"/>
      </w:pPr>
      <w:r>
        <w:rPr>
          <w:b/>
          <w:bCs/>
        </w:rPr>
        <w:t xml:space="preserve">Aim:</w:t>
      </w:r>
      <w:r>
        <w:t xml:space="preserve"> </w:t>
      </w:r>
      <w:r>
        <w:t xml:space="preserve">To call God’s people — through the full force of the Shema’s exclusive claim — to examine whether their love for the LORD is genuinely integrative and whole-person, or whether it has been quietly colonized by competing loves, and to ground the renewal of that love in the prior grace of a God who first loved and redeemed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w:t>
            </w:r>
          </w:p>
        </w:tc>
        <w:tc>
          <w:tcPr/>
          <w:p>
            <w:pPr>
              <w:pStyle w:val="Compact"/>
            </w:pPr>
            <w:r>
              <w:t xml:space="preserve">Moses identifies the commandments, statutes, and judgments he is commanding Israel to observe in the land</w:t>
            </w:r>
          </w:p>
        </w:tc>
        <w:tc>
          <w:tcPr/>
          <w:p>
            <w:pPr>
              <w:pStyle w:val="Compact"/>
            </w:pPr>
            <w:r>
              <w:t xml:space="preserve">Opening charge — these commands are for the land; obedience has a telos</w:t>
            </w:r>
          </w:p>
        </w:tc>
      </w:tr>
      <w:tr>
        <w:tc>
          <w:tcPr/>
          <w:p>
            <w:pPr>
              <w:pStyle w:val="Compact"/>
            </w:pPr>
            <w:r>
              <w:t xml:space="preserve">6:2</w:t>
            </w:r>
          </w:p>
        </w:tc>
        <w:tc>
          <w:tcPr/>
          <w:p>
            <w:pPr>
              <w:pStyle w:val="Compact"/>
            </w:pPr>
            <w:r>
              <w:t xml:space="preserve">Purpose: that Israel and their children may fear the LORD and keep His statutes all their days, that days may be prolonged</w:t>
            </w:r>
          </w:p>
        </w:tc>
        <w:tc>
          <w:tcPr/>
          <w:p>
            <w:pPr>
              <w:pStyle w:val="Compact"/>
            </w:pPr>
            <w:r>
              <w:t xml:space="preserve">Fear of the LORD as the motivating disposition; generational scope introduced immediately</w:t>
            </w:r>
          </w:p>
        </w:tc>
      </w:tr>
      <w:tr>
        <w:tc>
          <w:tcPr/>
          <w:p>
            <w:pPr>
              <w:pStyle w:val="Compact"/>
            </w:pPr>
            <w:r>
              <w:t xml:space="preserve">6:3</w:t>
            </w:r>
          </w:p>
        </w:tc>
        <w:tc>
          <w:tcPr/>
          <w:p>
            <w:pPr>
              <w:pStyle w:val="Compact"/>
            </w:pPr>
            <w:r>
              <w:t xml:space="preserve">Command to hear and obey so that it may go well with Israel and they may multiply in the promised land</w:t>
            </w:r>
          </w:p>
        </w:tc>
        <w:tc>
          <w:tcPr/>
          <w:p>
            <w:pPr>
              <w:pStyle w:val="Compact"/>
            </w:pPr>
            <w:r>
              <w:t xml:space="preserve">Obedience is the path to flourishing — grace-governed consequence, not mechanical reward</w:t>
            </w:r>
          </w:p>
        </w:tc>
      </w:tr>
      <w:tr>
        <w:tc>
          <w:tcPr/>
          <w:p>
            <w:pPr>
              <w:pStyle w:val="Compact"/>
            </w:pPr>
            <w:r>
              <w:t xml:space="preserve">6:4</w:t>
            </w:r>
          </w:p>
        </w:tc>
        <w:tc>
          <w:tcPr/>
          <w:p>
            <w:pPr>
              <w:pStyle w:val="Compact"/>
            </w:pPr>
            <w:r>
              <w:rPr>
                <w:b/>
                <w:bCs/>
              </w:rPr>
              <w:t xml:space="preserve">The Shema</w:t>
            </w:r>
            <w:r>
              <w:t xml:space="preserve">:</w:t>
            </w:r>
            <w:r>
              <w:t xml:space="preserve"> </w:t>
            </w:r>
            <w:r>
              <w:t xml:space="preserve">“Hear, O Israel: The LORD our God, the LORD is one”</w:t>
            </w:r>
          </w:p>
        </w:tc>
        <w:tc>
          <w:tcPr/>
          <w:p>
            <w:pPr>
              <w:pStyle w:val="Compact"/>
            </w:pPr>
            <w:r>
              <w:t xml:space="preserve">The foundational declaration of Israel’s monotheistic-exclusive faith; the theological ground of all that follows</w:t>
            </w:r>
          </w:p>
        </w:tc>
      </w:tr>
      <w:tr>
        <w:tc>
          <w:tcPr/>
          <w:p>
            <w:pPr>
              <w:pStyle w:val="Compact"/>
            </w:pPr>
            <w:r>
              <w:t xml:space="preserve">6:5</w:t>
            </w:r>
          </w:p>
        </w:tc>
        <w:tc>
          <w:tcPr/>
          <w:p>
            <w:pPr>
              <w:pStyle w:val="Compact"/>
            </w:pPr>
            <w:r>
              <w:t xml:space="preserve">Love the LORD your God with all your heart, soul, and strength</w:t>
            </w:r>
          </w:p>
        </w:tc>
        <w:tc>
          <w:tcPr/>
          <w:p>
            <w:pPr>
              <w:pStyle w:val="Compact"/>
            </w:pPr>
            <w:r>
              <w:t xml:space="preserve">The Shema’s ethical demand — total, integrative, personal love; the whole self engaged</w:t>
            </w:r>
          </w:p>
        </w:tc>
      </w:tr>
      <w:tr>
        <w:tc>
          <w:tcPr/>
          <w:p>
            <w:pPr>
              <w:pStyle w:val="Compact"/>
            </w:pPr>
            <w:r>
              <w:t xml:space="preserve">6:6</w:t>
            </w:r>
          </w:p>
        </w:tc>
        <w:tc>
          <w:tcPr/>
          <w:p>
            <w:pPr>
              <w:pStyle w:val="Compact"/>
            </w:pPr>
            <w:r>
              <w:t xml:space="preserve">These commandments shall be on your heart</w:t>
            </w:r>
          </w:p>
        </w:tc>
        <w:tc>
          <w:tcPr/>
          <w:p>
            <w:pPr>
              <w:pStyle w:val="Compact"/>
            </w:pPr>
            <w:r>
              <w:t xml:space="preserve">Interior reception first — not external compliance but internalized conviction</w:t>
            </w:r>
          </w:p>
        </w:tc>
      </w:tr>
      <w:tr>
        <w:tc>
          <w:tcPr/>
          <w:p>
            <w:pPr>
              <w:pStyle w:val="Compact"/>
            </w:pPr>
            <w:r>
              <w:t xml:space="preserve">6:7</w:t>
            </w:r>
          </w:p>
        </w:tc>
        <w:tc>
          <w:tcPr/>
          <w:p>
            <w:pPr>
              <w:pStyle w:val="Compact"/>
            </w:pPr>
            <w:r>
              <w:t xml:space="preserve">Diligently teach them to your children; speak of them sitting, walking, lying down, rising</w:t>
            </w:r>
          </w:p>
        </w:tc>
        <w:tc>
          <w:tcPr/>
          <w:p>
            <w:pPr>
              <w:pStyle w:val="Compact"/>
            </w:pPr>
            <w:r>
              <w:t xml:space="preserve">Continuous, ordinary-life transmission — covenant instruction woven into the rhythm of daily life</w:t>
            </w:r>
          </w:p>
        </w:tc>
      </w:tr>
      <w:tr>
        <w:tc>
          <w:tcPr/>
          <w:p>
            <w:pPr>
              <w:pStyle w:val="Compact"/>
            </w:pPr>
            <w:r>
              <w:t xml:space="preserve">6:8–9</w:t>
            </w:r>
          </w:p>
        </w:tc>
        <w:tc>
          <w:tcPr/>
          <w:p>
            <w:pPr>
              <w:pStyle w:val="Compact"/>
            </w:pPr>
            <w:r>
              <w:t xml:space="preserve">Bind them as a sign on your hand; frontlets between your eyes; write on doorposts and gates</w:t>
            </w:r>
          </w:p>
        </w:tc>
        <w:tc>
          <w:tcPr/>
          <w:p>
            <w:pPr>
              <w:pStyle w:val="Compact"/>
            </w:pPr>
            <w:r>
              <w:t xml:space="preserve">Embodied practice — the body, the household threshold, and public space all marked by covenant allegiance</w:t>
            </w:r>
          </w:p>
        </w:tc>
      </w:tr>
      <w:tr>
        <w:tc>
          <w:tcPr/>
          <w:p>
            <w:pPr>
              <w:pStyle w:val="Compact"/>
            </w:pPr>
            <w:r>
              <w:t xml:space="preserve">6:10–11</w:t>
            </w:r>
          </w:p>
        </w:tc>
        <w:tc>
          <w:tcPr/>
          <w:p>
            <w:pPr>
              <w:pStyle w:val="Compact"/>
            </w:pPr>
            <w:r>
              <w:t xml:space="preserve">When the LORD brings you into the land with cities you did not build, houses full of good things you did not fill, cisterns you did not dig, vineyards and olive trees you did not plant</w:t>
            </w:r>
          </w:p>
        </w:tc>
        <w:tc>
          <w:tcPr/>
          <w:p>
            <w:pPr>
              <w:pStyle w:val="Compact"/>
            </w:pPr>
            <w:r>
              <w:t xml:space="preserve">The gift of inherited Canaanite prosperity — radical grace; Israel will receive what they did not earn</w:t>
            </w:r>
          </w:p>
        </w:tc>
      </w:tr>
      <w:tr>
        <w:tc>
          <w:tcPr/>
          <w:p>
            <w:pPr>
              <w:pStyle w:val="Compact"/>
            </w:pPr>
            <w:r>
              <w:t xml:space="preserve">6:12</w:t>
            </w:r>
          </w:p>
        </w:tc>
        <w:tc>
          <w:tcPr/>
          <w:p>
            <w:pPr>
              <w:pStyle w:val="Compact"/>
            </w:pPr>
            <w:r>
              <w:t xml:space="preserve">“Then take care lest you forget the LORD, who brought you out of the land of Egypt, out of the house of slavery”</w:t>
            </w:r>
          </w:p>
        </w:tc>
        <w:tc>
          <w:tcPr/>
          <w:p>
            <w:pPr>
              <w:pStyle w:val="Compact"/>
            </w:pPr>
            <w:r>
              <w:t xml:space="preserve">The prosperity-amnesia warning: abundance is the primary context for forgetting God</w:t>
            </w:r>
          </w:p>
        </w:tc>
      </w:tr>
      <w:tr>
        <w:tc>
          <w:tcPr/>
          <w:p>
            <w:pPr>
              <w:pStyle w:val="Compact"/>
            </w:pPr>
            <w:r>
              <w:t xml:space="preserve">6:13</w:t>
            </w:r>
          </w:p>
        </w:tc>
        <w:tc>
          <w:tcPr/>
          <w:p>
            <w:pPr>
              <w:pStyle w:val="Compact"/>
            </w:pPr>
            <w:r>
              <w:t xml:space="preserve">Fear the LORD your God; serve Him; swear by His name</w:t>
            </w:r>
          </w:p>
        </w:tc>
        <w:tc>
          <w:tcPr/>
          <w:p>
            <w:pPr>
              <w:pStyle w:val="Compact"/>
            </w:pPr>
            <w:r>
              <w:t xml:space="preserve">The antidote to amnesia — continued reverent worship and exclusive allegiance</w:t>
            </w:r>
          </w:p>
        </w:tc>
      </w:tr>
      <w:tr>
        <w:tc>
          <w:tcPr/>
          <w:p>
            <w:pPr>
              <w:pStyle w:val="Compact"/>
            </w:pPr>
            <w:r>
              <w:t xml:space="preserve">6:14–15</w:t>
            </w:r>
          </w:p>
        </w:tc>
        <w:tc>
          <w:tcPr/>
          <w:p>
            <w:pPr>
              <w:pStyle w:val="Compact"/>
            </w:pPr>
            <w:r>
              <w:t xml:space="preserve">Do not go after other gods; the LORD your God is a jealous God; His anger will destroy you</w:t>
            </w:r>
          </w:p>
        </w:tc>
        <w:tc>
          <w:tcPr/>
          <w:p>
            <w:pPr>
              <w:pStyle w:val="Compact"/>
            </w:pPr>
            <w:r>
              <w:t xml:space="preserve">The consequence of idolatry — divine jealousy is not pettiness but covenantal exclusivity; the LORD’s claim is total</w:t>
            </w:r>
          </w:p>
        </w:tc>
      </w:tr>
      <w:tr>
        <w:tc>
          <w:tcPr/>
          <w:p>
            <w:pPr>
              <w:pStyle w:val="Compact"/>
            </w:pPr>
            <w:r>
              <w:t xml:space="preserve">6:16</w:t>
            </w:r>
          </w:p>
        </w:tc>
        <w:tc>
          <w:tcPr/>
          <w:p>
            <w:pPr>
              <w:pStyle w:val="Compact"/>
            </w:pPr>
            <w:r>
              <w:t xml:space="preserve">Do not put the LORD your God to the test, as you tested Him at Massah</w:t>
            </w:r>
          </w:p>
        </w:tc>
        <w:tc>
          <w:tcPr/>
          <w:p>
            <w:pPr>
              <w:pStyle w:val="Compact"/>
            </w:pPr>
            <w:r>
              <w:t xml:space="preserve">Backward reference to Exodus 17 — testing God is the practical expression of distrust; it reverses the love-command</w:t>
            </w:r>
          </w:p>
        </w:tc>
      </w:tr>
      <w:tr>
        <w:tc>
          <w:tcPr/>
          <w:p>
            <w:pPr>
              <w:pStyle w:val="Compact"/>
            </w:pPr>
            <w:r>
              <w:t xml:space="preserve">6:17–19</w:t>
            </w:r>
          </w:p>
        </w:tc>
        <w:tc>
          <w:tcPr/>
          <w:p>
            <w:pPr>
              <w:pStyle w:val="Compact"/>
            </w:pPr>
            <w:r>
              <w:t xml:space="preserve">Keep the commandments and testimonies and statutes; do what is right and good in the LORD’s eyes; that it may go well with you and you may enter and possess the good land</w:t>
            </w:r>
          </w:p>
        </w:tc>
        <w:tc>
          <w:tcPr/>
          <w:p>
            <w:pPr>
              <w:pStyle w:val="Compact"/>
            </w:pPr>
            <w:r>
              <w:t xml:space="preserve">Obedience restated — framed as</w:t>
            </w:r>
            <w:r>
              <w:t xml:space="preserve"> </w:t>
            </w:r>
            <w:r>
              <w:t xml:space="preserve">“what is right and good,”</w:t>
            </w:r>
            <w:r>
              <w:t xml:space="preserve"> </w:t>
            </w:r>
            <w:r>
              <w:t xml:space="preserve">not merely obligatory; covenant faithfulness as the path to the inheritance</w:t>
            </w:r>
          </w:p>
        </w:tc>
      </w:tr>
      <w:tr>
        <w:tc>
          <w:tcPr/>
          <w:p>
            <w:pPr>
              <w:pStyle w:val="Compact"/>
            </w:pPr>
            <w:r>
              <w:t xml:space="preserve">6:20</w:t>
            </w:r>
          </w:p>
        </w:tc>
        <w:tc>
          <w:tcPr/>
          <w:p>
            <w:pPr>
              <w:pStyle w:val="Compact"/>
            </w:pPr>
            <w:r>
              <w:t xml:space="preserve">When your son asks:</w:t>
            </w:r>
            <w:r>
              <w:t xml:space="preserve"> </w:t>
            </w:r>
            <w:r>
              <w:t xml:space="preserve">“What is the meaning of the testimonies, statutes, and judgments?”</w:t>
            </w:r>
          </w:p>
        </w:tc>
        <w:tc>
          <w:tcPr/>
          <w:p>
            <w:pPr>
              <w:pStyle w:val="Compact"/>
            </w:pPr>
            <w:r>
              <w:t xml:space="preserve">The catechism question — curiosity from within the covenant community; children who have been formed to ask</w:t>
            </w:r>
          </w:p>
        </w:tc>
      </w:tr>
      <w:tr>
        <w:tc>
          <w:tcPr/>
          <w:p>
            <w:pPr>
              <w:pStyle w:val="Compact"/>
            </w:pPr>
            <w:r>
              <w:t xml:space="preserve">6:21–23</w:t>
            </w:r>
          </w:p>
        </w:tc>
        <w:tc>
          <w:tcPr/>
          <w:p>
            <w:pPr>
              <w:pStyle w:val="Compact"/>
            </w:pPr>
            <w:r>
              <w:t xml:space="preserve">Answer: We were slaves in Egypt; the LORD brought us out with a mighty hand and signs and wonders; He brought us here to give us the land He swore to our fathers</w:t>
            </w:r>
          </w:p>
        </w:tc>
        <w:tc>
          <w:tcPr/>
          <w:p>
            <w:pPr>
              <w:pStyle w:val="Compact"/>
            </w:pPr>
            <w:r>
              <w:t xml:space="preserve">The saving narrative as the content of the catechism; grace-history is the answer to</w:t>
            </w:r>
            <w:r>
              <w:t xml:space="preserve"> </w:t>
            </w:r>
            <w:r>
              <w:t xml:space="preserve">“why do we live this way?”</w:t>
            </w:r>
          </w:p>
        </w:tc>
      </w:tr>
      <w:tr>
        <w:tc>
          <w:tcPr/>
          <w:p>
            <w:pPr>
              <w:pStyle w:val="Compact"/>
            </w:pPr>
            <w:r>
              <w:t xml:space="preserve">6:24–25</w:t>
            </w:r>
          </w:p>
        </w:tc>
        <w:tc>
          <w:tcPr/>
          <w:p>
            <w:pPr>
              <w:pStyle w:val="Compact"/>
            </w:pPr>
            <w:r>
              <w:t xml:space="preserve">The LORD commanded us to do these statutes, to fear Him for our good always; it will be righteousness for us if we are careful to do all this commandment</w:t>
            </w:r>
          </w:p>
        </w:tc>
        <w:tc>
          <w:tcPr/>
          <w:p>
            <w:pPr>
              <w:pStyle w:val="Compact"/>
            </w:pPr>
            <w:r>
              <w:t xml:space="preserve">Obedience as righteousness — covenant-keeping is the expression of right standing within the gracious covenant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6:1–3</w:t>
            </w:r>
          </w:p>
        </w:tc>
        <w:tc>
          <w:tcPr/>
          <w:p>
            <w:pPr>
              <w:pStyle w:val="Compact"/>
            </w:pPr>
            <w:r>
              <w:t xml:space="preserve">The Charge: Fear, Obey, and Flourish in the Land</w:t>
            </w:r>
          </w:p>
        </w:tc>
      </w:tr>
      <w:tr>
        <w:tc>
          <w:tcPr/>
          <w:p>
            <w:pPr>
              <w:pStyle w:val="Compact"/>
            </w:pPr>
            <w:r>
              <w:t xml:space="preserve">2</w:t>
            </w:r>
          </w:p>
        </w:tc>
        <w:tc>
          <w:tcPr/>
          <w:p>
            <w:pPr>
              <w:pStyle w:val="Compact"/>
            </w:pPr>
            <w:r>
              <w:t xml:space="preserve">6:4–5</w:t>
            </w:r>
          </w:p>
        </w:tc>
        <w:tc>
          <w:tcPr/>
          <w:p>
            <w:pPr>
              <w:pStyle w:val="Compact"/>
            </w:pPr>
            <w:r>
              <w:t xml:space="preserve">The Shema: The LORD Is One — Love Him with All You Are</w:t>
            </w:r>
          </w:p>
        </w:tc>
      </w:tr>
      <w:tr>
        <w:tc>
          <w:tcPr/>
          <w:p>
            <w:pPr>
              <w:pStyle w:val="Compact"/>
            </w:pPr>
            <w:r>
              <w:t xml:space="preserve">3</w:t>
            </w:r>
          </w:p>
        </w:tc>
        <w:tc>
          <w:tcPr/>
          <w:p>
            <w:pPr>
              <w:pStyle w:val="Compact"/>
            </w:pPr>
            <w:r>
              <w:t xml:space="preserve">6:6–9</w:t>
            </w:r>
          </w:p>
        </w:tc>
        <w:tc>
          <w:tcPr/>
          <w:p>
            <w:pPr>
              <w:pStyle w:val="Compact"/>
            </w:pPr>
            <w:r>
              <w:t xml:space="preserve">The Embodiment: Interior Formation, Household Transmission, and Embodied Practice</w:t>
            </w:r>
          </w:p>
        </w:tc>
      </w:tr>
      <w:tr>
        <w:tc>
          <w:tcPr/>
          <w:p>
            <w:pPr>
              <w:pStyle w:val="Compact"/>
            </w:pPr>
            <w:r>
              <w:t xml:space="preserve">4</w:t>
            </w:r>
          </w:p>
        </w:tc>
        <w:tc>
          <w:tcPr/>
          <w:p>
            <w:pPr>
              <w:pStyle w:val="Compact"/>
            </w:pPr>
            <w:r>
              <w:t xml:space="preserve">6:10–15</w:t>
            </w:r>
          </w:p>
        </w:tc>
        <w:tc>
          <w:tcPr/>
          <w:p>
            <w:pPr>
              <w:pStyle w:val="Compact"/>
            </w:pPr>
            <w:r>
              <w:t xml:space="preserve">The Warning: Prosperity Will Seduce You Toward Amnesia and Idolatry</w:t>
            </w:r>
          </w:p>
        </w:tc>
      </w:tr>
      <w:tr>
        <w:tc>
          <w:tcPr/>
          <w:p>
            <w:pPr>
              <w:pStyle w:val="Compact"/>
            </w:pPr>
            <w:r>
              <w:t xml:space="preserve">5</w:t>
            </w:r>
          </w:p>
        </w:tc>
        <w:tc>
          <w:tcPr/>
          <w:p>
            <w:pPr>
              <w:pStyle w:val="Compact"/>
            </w:pPr>
            <w:r>
              <w:t xml:space="preserve">6:16–19</w:t>
            </w:r>
          </w:p>
        </w:tc>
        <w:tc>
          <w:tcPr/>
          <w:p>
            <w:pPr>
              <w:pStyle w:val="Compact"/>
            </w:pPr>
            <w:r>
              <w:t xml:space="preserve">The Antidote: Faithful Obedience as the Path to the Inheritance</w:t>
            </w:r>
          </w:p>
        </w:tc>
      </w:tr>
      <w:tr>
        <w:tc>
          <w:tcPr/>
          <w:p>
            <w:pPr>
              <w:pStyle w:val="Compact"/>
            </w:pPr>
            <w:r>
              <w:t xml:space="preserve">6</w:t>
            </w:r>
          </w:p>
        </w:tc>
        <w:tc>
          <w:tcPr/>
          <w:p>
            <w:pPr>
              <w:pStyle w:val="Compact"/>
            </w:pPr>
            <w:r>
              <w:t xml:space="preserve">6:20–25</w:t>
            </w:r>
          </w:p>
        </w:tc>
        <w:tc>
          <w:tcPr/>
          <w:p>
            <w:pPr>
              <w:pStyle w:val="Compact"/>
            </w:pPr>
            <w:r>
              <w:t xml:space="preserve">The Catechism: Covenant Memory Handed Down Through Grace-Narrative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Shema commands whole-person love for the one LORD as the governing reality of covenant life.</w:t>
      </w:r>
    </w:p>
    <w:p>
      <w:pPr>
        <w:pStyle w:val="BodyText"/>
      </w:pPr>
      <w:r>
        <w:rPr>
          <w:b/>
          <w:bCs/>
        </w:rPr>
        <w:t xml:space="preserve">Primary Claim:</w:t>
      </w:r>
      <w:r>
        <w:t xml:space="preserve"> </w:t>
      </w:r>
      <w:r>
        <w:t xml:space="preserve">Because the LORD alone is God and has redeemed His people by grace, He calls them to love Him with the whole self — and to structure every dimension of life, from household rhythm to generational memory, around that singular love.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love for God is integrative or merely compartmental.</w:t>
      </w:r>
      <w:r>
        <w:t xml:space="preserve"> </w:t>
      </w:r>
      <w:r>
        <w:rPr>
          <w:i/>
          <w:iCs/>
        </w:rPr>
        <w:t xml:space="preserve">(Mind/Belief)</w:t>
      </w:r>
      <w:r>
        <w:t xml:space="preserve"> </w:t>
      </w:r>
      <w:r>
        <w:t xml:space="preserve">The Shema does not call for religious sentiment in the heart while the mind pursues secular wisdom, the wallet funds secular priorities, and the schedule reflects secular values.</w:t>
      </w:r>
      <w:r>
        <w:t xml:space="preserve"> </w:t>
      </w:r>
      <w:r>
        <w:t xml:space="preserve">“Heart, soul, and strength”</w:t>
      </w:r>
      <w:r>
        <w:t xml:space="preserve"> </w:t>
      </w:r>
      <w:r>
        <w:t xml:space="preserve">is a merism — it means</w:t>
      </w:r>
      <w:r>
        <w:t xml:space="preserve"> </w:t>
      </w:r>
      <w:r>
        <w:rPr>
          <w:i/>
          <w:iCs/>
        </w:rPr>
        <w:t xml:space="preserve">everything</w:t>
      </w:r>
      <w:r>
        <w:t xml:space="preserve">. The believer who loves God on Sunday but whose imagination, ambition, and energy are functionally governed by career advancement, financial security, or relational comfort has not understood the Shema. This passage calls for the kind of self-examination that asks not</w:t>
      </w:r>
      <w:r>
        <w:t xml:space="preserve"> </w:t>
      </w:r>
      <w:r>
        <w:t xml:space="preserve">“Do I love God?”</w:t>
      </w:r>
      <w:r>
        <w:t xml:space="preserve"> </w:t>
      </w:r>
      <w:r>
        <w:t xml:space="preserve">— most people say yes — but</w:t>
      </w:r>
      <w:r>
        <w:t xml:space="preserve"> </w:t>
      </w:r>
      <w:r>
        <w:t xml:space="preserve">“Is my love for God the organizing center of every other love and every other decision?”</w:t>
      </w:r>
      <w:r>
        <w:t xml:space="preserve"> </w:t>
      </w:r>
      <w:r>
        <w:t xml:space="preserve">The answer to that question will expose where competing loves have quietly annexed territory that belongs to the LORD.</w:t>
      </w:r>
    </w:p>
    <w:p>
      <w:pPr>
        <w:pStyle w:val="BodyText"/>
      </w:pPr>
      <w:r>
        <w:rPr>
          <w:b/>
          <w:bCs/>
        </w:rPr>
        <w:t xml:space="preserve">2. Recognize that your love for God is not the starting point — His love and redemption are.</w:t>
      </w:r>
      <w:r>
        <w:t xml:space="preserve"> </w:t>
      </w:r>
      <w:r>
        <w:rPr>
          <w:i/>
          <w:iCs/>
        </w:rPr>
        <w:t xml:space="preserve">(Affections/Worship)</w:t>
      </w:r>
      <w:r>
        <w:t xml:space="preserve"> </w:t>
      </w:r>
      <w:r>
        <w:t xml:space="preserve">The command of verse 5 does not come from nowhere. It comes after the declaration of verse 4, which comes after forty years of covenant relationship, which comes after the exodus from Egypt, which comes after centuries of promise-keeping in the face of human failure. The catechism of verses 20–25 makes the structure explicit: first the story of what God has done,</w:t>
      </w:r>
      <w:r>
        <w:t xml:space="preserve"> </w:t>
      </w:r>
      <w:r>
        <w:rPr>
          <w:i/>
          <w:iCs/>
        </w:rPr>
        <w:t xml:space="preserve">then</w:t>
      </w:r>
      <w:r>
        <w:t xml:space="preserve"> </w:t>
      </w:r>
      <w:r>
        <w:t xml:space="preserve">the command to obey. Israel is not being called to generate love for God from within themselves — they are being called to respond to a love that already found them in slavery and carried them to the threshold of the land. The affections that drive covenant obedience are not manufactured by willpower; they are kindled by remembering. When love for God grows cold, the first question is not</w:t>
      </w:r>
      <w:r>
        <w:t xml:space="preserve"> </w:t>
      </w:r>
      <w:r>
        <w:t xml:space="preserve">“try harder”</w:t>
      </w:r>
      <w:r>
        <w:t xml:space="preserve"> </w:t>
      </w:r>
      <w:r>
        <w:t xml:space="preserve">— it is</w:t>
      </w:r>
      <w:r>
        <w:t xml:space="preserve"> </w:t>
      </w:r>
      <w:r>
        <w:t xml:space="preserve">“what have you forgotten?”</w:t>
      </w:r>
    </w:p>
    <w:p>
      <w:pPr>
        <w:pStyle w:val="BodyText"/>
      </w:pPr>
      <w:r>
        <w:rPr>
          <w:b/>
          <w:bCs/>
        </w:rPr>
        <w:t xml:space="preserve">3. Structure your household so that the story of God’s grace is the air your children breathe.</w:t>
      </w:r>
      <w:r>
        <w:t xml:space="preserve"> </w:t>
      </w:r>
      <w:r>
        <w:rPr>
          <w:i/>
          <w:iCs/>
        </w:rPr>
        <w:t xml:space="preserve">(Will/Behavior)</w:t>
      </w:r>
      <w:r>
        <w:t xml:space="preserve"> </w:t>
      </w:r>
      <w:r>
        <w:t xml:space="preserve">Verses 7–9 are strikingly specific: sitting, walking, lying down, rising — the ordinary transitions of daily life are the curriculum. This is not a command to add a family devotion to an already-full schedule; it is a command to reframe the entire schedule as the context for covenant conversation. What are you talking about when you sit at the table, drive to school, lie down at night, and start the morning? For most households, the answer is: anything except the things of God. This passage demands a concrete, visible change in the texture of household conversation — not performance, not religiosity, but the natural and regular embedding of God’s word, God’s acts, and God’s claims into the everyday flow of family life. Parents who cannot answer their child’s question (v. 20) have not been speaking of these things (v. 7).</w:t>
      </w:r>
    </w:p>
    <w:p>
      <w:pPr>
        <w:pStyle w:val="BodyText"/>
      </w:pPr>
      <w:r>
        <w:rPr>
          <w:b/>
          <w:bCs/>
        </w:rPr>
        <w:t xml:space="preserve">4. Guard yourself against the specific spiritual danger of prosperity and abundance.</w:t>
      </w:r>
      <w:r>
        <w:t xml:space="preserve"> </w:t>
      </w:r>
      <w:r>
        <w:rPr>
          <w:i/>
          <w:iCs/>
        </w:rPr>
        <w:t xml:space="preserve">(Mind/Belief)</w:t>
      </w:r>
      <w:r>
        <w:t xml:space="preserve"> </w:t>
      </w:r>
      <w:r>
        <w:t xml:space="preserve">Verses 10–12 describe a situation of radical, unearned gift — cities you did not build, houses you did not fill, vineyards you did not plant. And then, immediately:</w:t>
      </w:r>
      <w:r>
        <w:t xml:space="preserve"> </w:t>
      </w:r>
      <w:r>
        <w:t xml:space="preserve">“take care lest you forget.”</w:t>
      </w:r>
      <w:r>
        <w:t xml:space="preserve"> </w:t>
      </w:r>
      <w:r>
        <w:t xml:space="preserve">Moses is not describing a hypothetical danger; he is naming the primary mechanism by which God’s people lose their grip on God. Scarcity drives people to pray; abundance teaches them to forget. This is not a warning for the ancient Israelites entering Canaan — it is a warning for every prosperous, comfortable, well-resourced Christian who has moved so far from the memory of need that God has become a background feature of a life that runs perfectly well without conscious dependence on Him. Examine your own abundance: what have your blessings taught you to forget?</w:t>
      </w:r>
    </w:p>
    <w:p>
      <w:pPr>
        <w:pStyle w:val="BodyText"/>
      </w:pPr>
      <w:r>
        <w:rPr>
          <w:b/>
          <w:bCs/>
        </w:rPr>
        <w:t xml:space="preserve">5. Learn the story well enough to answer the question your child will ask.</w:t>
      </w:r>
      <w:r>
        <w:t xml:space="preserve"> </w:t>
      </w:r>
      <w:r>
        <w:rPr>
          <w:i/>
          <w:iCs/>
        </w:rPr>
        <w:t xml:space="preserve">(Will/Behavior)</w:t>
      </w:r>
      <w:r>
        <w:t xml:space="preserve"> </w:t>
      </w:r>
      <w:r>
        <w:t xml:space="preserve">Verse 20 assumes the child will ask. The only question is whether the parent can answer. The answer in verses 21–24 is not a theological lecture — it is a narrative:</w:t>
      </w:r>
      <w:r>
        <w:t xml:space="preserve"> </w:t>
      </w:r>
      <w:r>
        <w:rPr>
          <w:i/>
          <w:iCs/>
        </w:rPr>
        <w:t xml:space="preserve">We were slaves. God brought us out. He gave us this land. He commanded us these things for our good.</w:t>
      </w:r>
      <w:r>
        <w:t xml:space="preserve"> </w:t>
      </w:r>
      <w:r>
        <w:t xml:space="preserve">The catechism is grace-shaped: it begins with bondage, moves through redemption, and arrives at gift. Every generation of covenant children deserves a parent who can tell this story — not in abstract doctrinal language but in the first person, as their own story:</w:t>
      </w:r>
      <w:r>
        <w:t xml:space="preserve"> </w:t>
      </w:r>
      <w:r>
        <w:rPr>
          <w:i/>
          <w:iCs/>
        </w:rPr>
        <w:t xml:space="preserve">This is what God did for us. This is why we live the way we live.</w:t>
      </w:r>
      <w:r>
        <w:t xml:space="preserve"> </w:t>
      </w:r>
      <w:r>
        <w:t xml:space="preserve">The failure of generational faith transmission is not primarily a failure of youth programming — it is a failure of parents who do not know the story well enough, or do not love it deeply enough, to answer the question when it comes.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6 establishes the theological architecture on which all of biblical ethics rests: the exclusive lordship of the one God grounds an exclusive, whole-person love, which in turn generates a life-shaping, generation-spanning pattern of obedience. The LORD’s oneness is not a philosophical proposition — it is the ontological ground of His exclusive claim. His jealousy (v. 15) is not a character flaw but the covenantal expression of His identity as the only legitimate object of Israel’s ultimate allegiance. The passage also establishes one of Scripture’s clearest statements of the indicative-imperative structure: God’s prior act of redemption (vv. 21–23) grounds and precedes every ethical demand. Obedience is not the condition of covenant relationship but the expression of it. This is not a passage about religious duty — it is a passage about the comprehensive and joyful response of a redeemed people to the God who has already made them His own.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6 is a foundational locus for the Reformed understanding of the covenant of grace in its Mosaic administration. The household transmission mandate (vv. 7–9, 20–25) has historically grounded Reformed covenant theology’s insistence that the covenant community is household-structured and that children of believers are to be raised within the covenant, receiving its signs and hearing its story as participants in the covenant community before their personal faith is articulated. The Shema’s demand for whole-person love, grounded in prior grace, is the clearest Old Testament statement of what the Heidelberg Catechism calls the</w:t>
      </w:r>
      <w:r>
        <w:t xml:space="preserve"> </w:t>
      </w:r>
      <w:r>
        <w:t xml:space="preserve">“rule of gratitude”</w:t>
      </w:r>
      <w:r>
        <w:t xml:space="preserve"> </w:t>
      </w:r>
      <w:r>
        <w:t xml:space="preserve">— the third use of the law as a guide for those already redeemed, not a ladder to earn redemption. The warning against idolatry in vv. 10–15, read canonically, anticipates the Reformed diagnosis of the human heart as</w:t>
      </w:r>
      <w:r>
        <w:t xml:space="preserve"> </w:t>
      </w:r>
      <w:r>
        <w:rPr>
          <w:i/>
          <w:iCs/>
        </w:rPr>
        <w:t xml:space="preserve">cor incurvatum in se</w:t>
      </w:r>
      <w:r>
        <w:t xml:space="preserve"> </w:t>
      </w:r>
      <w:r>
        <w:t xml:space="preserve">— curved inward, prone to construct false saviors from the materials of blessing itself. Deuteronomy 6 does not merely require love — it diagnoses why love fails and points to the only ground on which it can be sustained: the memory of grace, rehearsed continuously, transmitted faithfully, embodied concretely.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your God is one — which means He does not share the throne of your life with your career, your comfort, your reputation, or your fear. He has already redeemed you; He asks now for the whole of you in return. Stop living as though your love for Him is a department of your life. Let it be the center from which every other department takes its shape — including what you say at dinner, what you teach your children, and what you do when abundance tempts you to forget that you were once a slave and He is the one who brought you out.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Shema to a philosophical claim about monotheism.</w:t>
      </w:r>
      <w:r>
        <w:t xml:space="preserve"> </w:t>
      </w:r>
      <w:r>
        <w:t xml:space="preserve">The most common failure is treating verse 4 as a doctrinal proposition (</w:t>
      </w:r>
      <w:r>
        <w:t xml:space="preserve">“there is one God”</w:t>
      </w:r>
      <w:r>
        <w:t xml:space="preserve">) rather than a relational and exclusive declaration (</w:t>
      </w:r>
      <w:r>
        <w:t xml:space="preserve">“</w:t>
      </w:r>
      <w:r>
        <w:rPr>
          <w:i/>
          <w:iCs/>
        </w:rPr>
        <w:t xml:space="preserve">this</w:t>
      </w:r>
      <w:r>
        <w:t xml:space="preserve"> </w:t>
      </w:r>
      <w:r>
        <w:t xml:space="preserve">God — and no other — is yours, and you are His”</w:t>
      </w:r>
      <w:r>
        <w:t xml:space="preserve">). The Shema is not Israel’s answer to polytheism as an intellectual question; it is Israel’s foundational identity claim as a covenant people. Preaching that stays at the philosophical level will produce theological assent without transformed allegiance.</w:t>
      </w:r>
    </w:p>
    <w:p>
      <w:pPr>
        <w:numPr>
          <w:ilvl w:val="0"/>
          <w:numId w:val="1002"/>
        </w:numPr>
      </w:pPr>
      <w:r>
        <w:rPr>
          <w:b/>
          <w:bCs/>
        </w:rPr>
        <w:t xml:space="preserve">Preaching the love command (v. 5) without grounding it in prior grace.</w:t>
      </w:r>
      <w:r>
        <w:t xml:space="preserve"> </w:t>
      </w:r>
      <w:r>
        <w:t xml:space="preserve">Verse 5 without verses 20–24 produces moralism —</w:t>
      </w:r>
      <w:r>
        <w:t xml:space="preserve"> </w:t>
      </w:r>
      <w:r>
        <w:t xml:space="preserve">“love God more, try harder.”</w:t>
      </w:r>
      <w:r>
        <w:t xml:space="preserve"> </w:t>
      </w:r>
      <w:r>
        <w:t xml:space="preserve">The entire chapter is structured to ground the command in the prior narrative of redemption. Exposition that begins with the demand without establishing the grace-foundation turns the passage into a motivational challenge rather than a gospel-saturated call. Always establish the indicative before the imperative.</w:t>
      </w:r>
    </w:p>
    <w:p>
      <w:pPr>
        <w:numPr>
          <w:ilvl w:val="0"/>
          <w:numId w:val="1002"/>
        </w:numPr>
      </w:pPr>
      <w:r>
        <w:rPr>
          <w:b/>
          <w:bCs/>
        </w:rPr>
        <w:t xml:space="preserve">Domesticating vv. 7–9 into parenting advice.</w:t>
      </w:r>
      <w:r>
        <w:t xml:space="preserve"> </w:t>
      </w:r>
      <w:r>
        <w:t xml:space="preserve">These verses are among the most practically applicable in the Old Testament, and they do generate legitimate applications about family discipleship. But they are grounded in covenant theology, not child psychology. Preaching them as</w:t>
      </w:r>
      <w:r>
        <w:t xml:space="preserve"> </w:t>
      </w:r>
      <w:r>
        <w:t xml:space="preserve">“five habits of spiritually healthy families”</w:t>
      </w:r>
      <w:r>
        <w:t xml:space="preserve"> </w:t>
      </w:r>
      <w:r>
        <w:t xml:space="preserve">without grounding them in the identity of the covenant community and the grace-narrative of vv. 20–25 reduces a theological declaration to a self-help strategy. The form of the instruction matters less than the content:</w:t>
      </w:r>
      <w:r>
        <w:t xml:space="preserve"> </w:t>
      </w:r>
      <w:r>
        <w:rPr>
          <w:i/>
          <w:iCs/>
        </w:rPr>
        <w:t xml:space="preserve">what story are you telling your children, and whose story is it?</w:t>
      </w:r>
    </w:p>
    <w:p>
      <w:pPr>
        <w:numPr>
          <w:ilvl w:val="0"/>
          <w:numId w:val="1002"/>
        </w:numPr>
      </w:pPr>
      <w:r>
        <w:rPr>
          <w:b/>
          <w:bCs/>
        </w:rPr>
        <w:t xml:space="preserve">Treating the prosperity warning (vv. 10–15) as ancient history.</w:t>
      </w:r>
      <w:r>
        <w:t xml:space="preserve"> </w:t>
      </w:r>
      <w:r>
        <w:t xml:space="preserve">It is easy to preach these verses as cautionary background for what Israel subsequently did wrong — and then move on. The pastoral nerve of the passage is that this warning is addressed to a people</w:t>
      </w:r>
      <w:r>
        <w:t xml:space="preserve"> </w:t>
      </w:r>
      <w:r>
        <w:rPr>
          <w:i/>
          <w:iCs/>
        </w:rPr>
        <w:t xml:space="preserve">on the threshold of abundance</w:t>
      </w:r>
      <w:r>
        <w:t xml:space="preserve">, before they have failed. The preacher must resist the historical distancing that lets contemporary, prosperous congregations off the hook. The most dangerous spiritual season for any Christian is not suffering — it is comfort. Preach this directly.</w:t>
      </w:r>
    </w:p>
    <w:p>
      <w:pPr>
        <w:numPr>
          <w:ilvl w:val="0"/>
          <w:numId w:val="1002"/>
        </w:numPr>
      </w:pPr>
      <w:r>
        <w:rPr>
          <w:b/>
          <w:bCs/>
        </w:rPr>
        <w:t xml:space="preserve">Missing the divine jealousy (v. 15) as pastoral and loving.</w:t>
      </w:r>
      <w:r>
        <w:t xml:space="preserve"> </w:t>
      </w:r>
      <w:r>
        <w:t xml:space="preserve">Evangelical congregations often find</w:t>
      </w:r>
      <w:r>
        <w:t xml:space="preserve"> </w:t>
      </w:r>
      <w:r>
        <w:t xml:space="preserve">“jealous God”</w:t>
      </w:r>
      <w:r>
        <w:t xml:space="preserve"> </w:t>
      </w:r>
      <w:r>
        <w:t xml:space="preserve">language uncomfortable, and preachers sometimes apologize for it or soften it. This misses the pastoral logic: God’s jealousy is the covenantal expression of His exclusive love. A God who would not be jealous when His people give their hearts to idols would be a God who did not truly love them. The jealousy of God in Deuteronomy 6 is the same logic as marriage fidelity — the stronger the love, the more total the claim. Expositors should recover this language rather than domesticate it.</w:t>
      </w:r>
    </w:p>
    <w:p>
      <w:pPr>
        <w:numPr>
          <w:ilvl w:val="0"/>
          <w:numId w:val="1002"/>
        </w:numPr>
      </w:pPr>
      <w:r>
        <w:rPr>
          <w:b/>
          <w:bCs/>
        </w:rPr>
        <w:t xml:space="preserve">Treating the catechism of vv. 20–25 as a curriculum template rather than a grace-narrative.</w:t>
      </w:r>
      <w:r>
        <w:t xml:space="preserve"> </w:t>
      </w:r>
      <w:r>
        <w:t xml:space="preserve">The catechism section is frequently mined for insights about intergenerational faith transmission and Sunday school methodology. All of that is legitimate. But the specific</w:t>
      </w:r>
      <w:r>
        <w:t xml:space="preserve"> </w:t>
      </w:r>
      <w:r>
        <w:rPr>
          <w:i/>
          <w:iCs/>
        </w:rPr>
        <w:t xml:space="preserve">content</w:t>
      </w:r>
      <w:r>
        <w:t xml:space="preserve"> </w:t>
      </w:r>
      <w:r>
        <w:t xml:space="preserve">of the answer —</w:t>
      </w:r>
      <w:r>
        <w:t xml:space="preserve"> </w:t>
      </w:r>
      <w:r>
        <w:rPr>
          <w:i/>
          <w:iCs/>
        </w:rPr>
        <w:t xml:space="preserve">we were slaves, God brought us out, He gave us the land, He commanded this for our good</w:t>
      </w:r>
      <w:r>
        <w:t xml:space="preserve"> </w:t>
      </w:r>
      <w:r>
        <w:t xml:space="preserve">— is the crucial thing. The answer is not a theological framework; it is a story. And the story begins with bondage and rescue, not with duty and reward. Preaching that uses this section to argue for better family discipleship programs without drilling into the grace-narrative itself has extracted the method and discarded the message.</w:t>
      </w:r>
    </w:p>
    <w:p>
      <w:r>
        <w:pict>
          <v:rect style="width:0;height:1.5pt" o:hralign="center" o:hrstd="t" o:hr="t"/>
        </w:pict>
      </w:r>
    </w:p>
    <w:p>
      <w:pPr>
        <w:pStyle w:val="FirstParagraph"/>
      </w:pPr>
      <w:r>
        <w:rPr>
          <w:i/>
          <w:iCs/>
        </w:rPr>
        <w:t xml:space="preserve">Document: 05 Deuteronomy 06.docx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2026-07-14T21:02:01Z</dcterms:created>
  <dcterms:modified xsi:type="dcterms:W3CDTF">2026-07-14T21:02:01Z</dcterms:modified>
</cp:coreProperties>
</file>

<file path=docProps/custom.xml><?xml version="1.0" encoding="utf-8"?>
<Properties xmlns="http://schemas.openxmlformats.org/officeDocument/2006/custom-properties" xmlns:vt="http://schemas.openxmlformats.org/officeDocument/2006/docPropsVTypes"/>
</file>